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EAD2253"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734F68">
        <w:rPr>
          <w:b w:val="0"/>
          <w:bCs/>
          <w:color w:val="17365F"/>
          <w14:textFill>
            <w14:solidFill>
              <w14:srgbClr w14:val="17365F">
                <w14:lumMod w14:val="85000"/>
                <w14:lumOff w14:val="15000"/>
              </w14:srgbClr>
            </w14:solidFill>
          </w14:textFill>
        </w:rPr>
        <w:t>Talent Acquisition</w:t>
      </w:r>
    </w:p>
    <w:p w14:paraId="6E8F2F85" w14:textId="21CEFCCC"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F15520" w:rsidRPr="00F15520">
        <w:rPr>
          <w:b w:val="0"/>
          <w:bCs/>
          <w:color w:val="17365F"/>
          <w14:textFill>
            <w14:solidFill>
              <w14:srgbClr w14:val="17365F">
                <w14:lumMod w14:val="85000"/>
                <w14:lumOff w14:val="15000"/>
              </w14:srgbClr>
            </w14:solidFill>
          </w14:textFill>
        </w:rPr>
        <w:t>Best Candidate Experience</w:t>
      </w:r>
    </w:p>
    <w:p w14:paraId="17D06C82" w14:textId="77777777" w:rsidR="006826CF" w:rsidRDefault="006826CF" w:rsidP="007636FF">
      <w:pPr>
        <w:spacing w:before="0" w:after="0" w:line="240" w:lineRule="auto"/>
        <w:jc w:val="left"/>
        <w:rPr>
          <w:color w:val="000000" w:themeColor="text1"/>
        </w:rPr>
      </w:pPr>
    </w:p>
    <w:p w14:paraId="49FD53CD" w14:textId="02A44A65" w:rsidR="00F15520" w:rsidRDefault="007F36A9" w:rsidP="00F15520">
      <w:pPr>
        <w:spacing w:before="0" w:after="0" w:line="240" w:lineRule="auto"/>
        <w:jc w:val="left"/>
        <w:rPr>
          <w:rFonts w:cstheme="minorHAnsi"/>
          <w:color w:val="000000" w:themeColor="text1"/>
        </w:rPr>
      </w:pPr>
      <w:r w:rsidRPr="007636FF">
        <w:rPr>
          <w:color w:val="000000" w:themeColor="text1"/>
        </w:rPr>
        <w:t xml:space="preserve">The category </w:t>
      </w:r>
      <w:r w:rsidR="00F15520" w:rsidRPr="00F15520">
        <w:rPr>
          <w:rFonts w:cstheme="minorHAnsi"/>
          <w:b/>
          <w:bCs/>
          <w:color w:val="17365F"/>
        </w:rPr>
        <w:t>Best Candidate Experience</w:t>
      </w:r>
      <w:r w:rsidR="00F15520" w:rsidRPr="00F15520">
        <w:rPr>
          <w:rFonts w:cstheme="minorHAnsi"/>
          <w:b/>
          <w:color w:val="17365F"/>
        </w:rPr>
        <w:t xml:space="preserve"> </w:t>
      </w:r>
      <w:r w:rsidR="00F15520" w:rsidRPr="00F15520">
        <w:rPr>
          <w:rFonts w:cstheme="minorHAnsi"/>
          <w:color w:val="000000" w:themeColor="text1"/>
        </w:rPr>
        <w:t>is for a written description of best practices for creating a strategy for improving the candidate experience. The entry should provide details on how the organization leveraged social, mobile, and video technologies to help build talent communities to connect, engage, and develop relationships.</w:t>
      </w:r>
    </w:p>
    <w:p w14:paraId="6684B297" w14:textId="77777777" w:rsidR="00F15520" w:rsidRPr="00F15520" w:rsidRDefault="00F15520" w:rsidP="00F15520">
      <w:pPr>
        <w:spacing w:before="0" w:after="0" w:line="240" w:lineRule="auto"/>
        <w:jc w:val="left"/>
        <w:rPr>
          <w:rFonts w:cstheme="minorHAnsi"/>
          <w:color w:val="000000" w:themeColor="text1"/>
        </w:rPr>
      </w:pPr>
    </w:p>
    <w:p w14:paraId="1684BD96" w14:textId="77777777" w:rsidR="00F15520" w:rsidRPr="00F15520" w:rsidRDefault="00F15520" w:rsidP="00F15520">
      <w:pPr>
        <w:spacing w:before="0" w:after="0" w:line="240" w:lineRule="auto"/>
        <w:jc w:val="left"/>
        <w:rPr>
          <w:rFonts w:cstheme="minorHAnsi"/>
          <w:color w:val="000000" w:themeColor="text1"/>
        </w:rPr>
      </w:pPr>
      <w:r w:rsidRPr="00F15520">
        <w:rPr>
          <w:rFonts w:cstheme="minorHAnsi"/>
          <w:color w:val="000000" w:themeColor="text1"/>
        </w:rPr>
        <w:t xml:space="preserve">Training, learning, talent, HR, or other related department can enter either </w:t>
      </w:r>
      <w:r w:rsidRPr="00F15520">
        <w:rPr>
          <w:rFonts w:cstheme="minorHAnsi"/>
          <w:b/>
          <w:color w:val="000000" w:themeColor="text1"/>
        </w:rPr>
        <w:t>alone</w:t>
      </w:r>
      <w:r w:rsidRPr="00F15520">
        <w:rPr>
          <w:rFonts w:cstheme="minorHAnsi"/>
          <w:color w:val="000000" w:themeColor="text1"/>
        </w:rPr>
        <w:t xml:space="preserve"> or </w:t>
      </w:r>
      <w:r w:rsidRPr="00F15520">
        <w:rPr>
          <w:rFonts w:cstheme="minorHAnsi"/>
          <w:b/>
          <w:color w:val="000000" w:themeColor="text1"/>
        </w:rPr>
        <w:t>together</w:t>
      </w:r>
      <w:r w:rsidRPr="00F15520">
        <w:rPr>
          <w:rFonts w:cstheme="minorHAnsi"/>
          <w:color w:val="000000" w:themeColor="text1"/>
        </w:rPr>
        <w:t xml:space="preserve"> with a helping organization (such as a vendor aka solution provider, or consultant). Helping organizations </w:t>
      </w:r>
      <w:r w:rsidRPr="00F15520">
        <w:rPr>
          <w:rFonts w:cstheme="minorHAnsi"/>
          <w:b/>
          <w:color w:val="000000" w:themeColor="text1"/>
        </w:rPr>
        <w:t>cannot</w:t>
      </w:r>
      <w:r w:rsidRPr="00F15520">
        <w:rPr>
          <w:rFonts w:cstheme="minorHAnsi"/>
          <w:color w:val="000000" w:themeColor="text1"/>
        </w:rPr>
        <w:t xml:space="preserve"> enter alone.</w:t>
      </w:r>
    </w:p>
    <w:p w14:paraId="678DF933" w14:textId="7D69DC5C" w:rsidR="006826CF" w:rsidRDefault="006826CF" w:rsidP="00F15520">
      <w:pPr>
        <w:spacing w:before="0" w:after="0" w:line="240" w:lineRule="auto"/>
        <w:jc w:val="left"/>
        <w:rPr>
          <w:rStyle w:val="SUBFORMCATEGORYBOLDBLUETEXT11PT"/>
          <w:rFonts w:eastAsiaTheme="minorEastAsia"/>
          <w:color w:val="000000" w:themeColor="text1"/>
          <w:sz w:val="24"/>
          <w:szCs w:val="24"/>
        </w:rPr>
      </w:pPr>
    </w:p>
    <w:p w14:paraId="0FDAC708" w14:textId="77777777" w:rsidR="00315F98" w:rsidRPr="00AE5E2D" w:rsidRDefault="00315F98" w:rsidP="00315F98">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57123C05" w14:textId="77777777" w:rsidR="00315F98" w:rsidRPr="00AE5E2D" w:rsidRDefault="00315F98" w:rsidP="00315F98">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71957BE8" w14:textId="77777777" w:rsidR="00315F98" w:rsidRPr="00AE5E2D" w:rsidRDefault="00315F98" w:rsidP="00315F98">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0EBF694C" w14:textId="77777777" w:rsidR="00315F98" w:rsidRPr="00AE5E2D" w:rsidRDefault="00315F98" w:rsidP="00315F98">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60373F61" w14:textId="77777777" w:rsidR="00315F98" w:rsidRPr="00AE5E2D" w:rsidRDefault="00315F98" w:rsidP="00315F98">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428763F9" w14:textId="77777777" w:rsidR="00315F98" w:rsidRPr="00AE5E2D" w:rsidRDefault="00315F98" w:rsidP="00315F98">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5F132B56" w14:textId="77777777" w:rsidR="00315F98" w:rsidRPr="00AE5E2D" w:rsidRDefault="00315F98" w:rsidP="00315F98">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7D7260F3" w14:textId="77777777" w:rsidR="00315F98" w:rsidRPr="00AE5E2D" w:rsidRDefault="00315F98" w:rsidP="00315F98">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27FE3AE5" w14:textId="77777777" w:rsidR="00315F98" w:rsidRPr="00AE5E2D" w:rsidRDefault="00315F98" w:rsidP="00315F98">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5F263D54" w14:textId="77777777" w:rsidR="00315F98" w:rsidRPr="00AE5E2D" w:rsidRDefault="00315F98" w:rsidP="00315F98">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590BAD0F" w14:textId="77777777" w:rsidR="00315F98" w:rsidRPr="00AE5E2D" w:rsidRDefault="00315F98" w:rsidP="00315F98">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2FFB07B8" w14:textId="77777777" w:rsidR="00315F98" w:rsidRPr="00AE5E2D" w:rsidRDefault="00315F98" w:rsidP="00315F98">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4C63ED91" w14:textId="77777777" w:rsidR="00315F98" w:rsidRPr="00AE5E2D" w:rsidRDefault="00315F98" w:rsidP="00315F98">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309DB7B5" w14:textId="77777777" w:rsidR="00315F98" w:rsidRPr="00AE5E2D" w:rsidRDefault="00315F98" w:rsidP="00315F98">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2D9D610A" w14:textId="77777777" w:rsidR="00315F98" w:rsidRPr="00AE5E2D" w:rsidRDefault="00315F98" w:rsidP="00315F98">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09A07EA6" w14:textId="77777777" w:rsidR="00315F98" w:rsidRPr="00AE5E2D" w:rsidRDefault="00315F98" w:rsidP="00315F98">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5"/>
        <w:gridCol w:w="559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1DF2631D" w:rsidR="00FF4340" w:rsidRPr="00861C15" w:rsidRDefault="00F15520"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12A2A430" w:rsidR="00FF4340" w:rsidRPr="00861C15" w:rsidRDefault="00F15520"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F15520">
              <w:rPr>
                <w:b w:val="0"/>
                <w:bCs/>
                <w:sz w:val="22"/>
                <w:szCs w:val="22"/>
              </w:rPr>
              <w:t>The approaches and technologies used to improve the candidate experience effectively aligned to the organization’s talent acquisition needs.</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6A7D9FFE" w:rsidR="00FF4340" w:rsidRPr="00861C15" w:rsidRDefault="00F15520"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w:t>
            </w:r>
          </w:p>
        </w:tc>
        <w:tc>
          <w:tcPr>
            <w:tcW w:w="5778" w:type="dxa"/>
            <w:shd w:val="clear" w:color="auto" w:fill="DBE5F1" w:themeFill="accent1" w:themeFillTint="33"/>
            <w:vAlign w:val="center"/>
          </w:tcPr>
          <w:p w14:paraId="00789C19" w14:textId="4EC5088D" w:rsidR="00FF4340" w:rsidRPr="00861C15" w:rsidRDefault="00F15520"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F15520">
              <w:rPr>
                <w:b w:val="0"/>
                <w:bCs/>
                <w:sz w:val="22"/>
                <w:szCs w:val="22"/>
              </w:rPr>
              <w:t xml:space="preserve">The strategy included the effective use of social, </w:t>
            </w:r>
            <w:r w:rsidR="00315F98" w:rsidRPr="00F15520">
              <w:rPr>
                <w:b w:val="0"/>
                <w:bCs/>
                <w:sz w:val="22"/>
                <w:szCs w:val="22"/>
              </w:rPr>
              <w:t>mobile,</w:t>
            </w:r>
            <w:r w:rsidRPr="00F15520">
              <w:rPr>
                <w:b w:val="0"/>
                <w:bCs/>
                <w:sz w:val="22"/>
                <w:szCs w:val="22"/>
              </w:rPr>
              <w:t xml:space="preserve"> </w:t>
            </w:r>
            <w:r w:rsidR="00315F98">
              <w:rPr>
                <w:b w:val="0"/>
                <w:bCs/>
                <w:sz w:val="22"/>
                <w:szCs w:val="22"/>
              </w:rPr>
              <w:t xml:space="preserve">AI, </w:t>
            </w:r>
            <w:r w:rsidRPr="00F15520">
              <w:rPr>
                <w:b w:val="0"/>
                <w:bCs/>
                <w:sz w:val="22"/>
                <w:szCs w:val="22"/>
              </w:rPr>
              <w:t>and video technologies to help build talent communities to connect, engage, and develop relationships.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747A5741" w:rsidR="00FF4340" w:rsidRPr="00861C15" w:rsidRDefault="00F15520"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Deployment</w:t>
            </w:r>
          </w:p>
        </w:tc>
        <w:tc>
          <w:tcPr>
            <w:tcW w:w="5778" w:type="dxa"/>
            <w:shd w:val="clear" w:color="auto" w:fill="DBE5F1" w:themeFill="accent1" w:themeFillTint="33"/>
            <w:vAlign w:val="center"/>
          </w:tcPr>
          <w:p w14:paraId="2EF61CE2" w14:textId="14AF25EC" w:rsidR="00FF4340" w:rsidRPr="00861C15" w:rsidRDefault="00F15520"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F15520">
              <w:rPr>
                <w:b w:val="0"/>
                <w:bCs/>
                <w:sz w:val="22"/>
                <w:szCs w:val="22"/>
              </w:rPr>
              <w:t>The strategy clearly stated how they deployed the approaches and technologies to improve the candidate experience.</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61C4C55F" w:rsidR="00FF4340" w:rsidRPr="00861C15" w:rsidRDefault="00F15520"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F15520">
              <w:rPr>
                <w:b w:val="0"/>
                <w:bCs/>
                <w:sz w:val="22"/>
                <w:szCs w:val="22"/>
              </w:rPr>
              <w:t xml:space="preserve">The candidate experience was effectively </w:t>
            </w:r>
            <w:r w:rsidR="00315F98" w:rsidRPr="00F15520">
              <w:rPr>
                <w:b w:val="0"/>
                <w:bCs/>
                <w:sz w:val="22"/>
                <w:szCs w:val="22"/>
              </w:rPr>
              <w:t>improved,</w:t>
            </w:r>
            <w:r w:rsidRPr="00F15520">
              <w:rPr>
                <w:b w:val="0"/>
                <w:bCs/>
                <w:sz w:val="22"/>
                <w:szCs w:val="22"/>
              </w:rPr>
              <w:t xml:space="preserve"> and the organization was able to identify greater results in the recruiting process.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13E8E870" w:rsidR="00FF4340" w:rsidRPr="00861C15" w:rsidRDefault="00F15520"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F15520">
              <w:rPr>
                <w:b w:val="0"/>
                <w:bCs/>
                <w:sz w:val="22"/>
                <w:szCs w:val="22"/>
              </w:rPr>
              <w:t>Overall, the improvement of the candidate experience had a positive impact on the recruitment process in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44824A18"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315F98"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479B41A0"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15F98"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5268CA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15F98"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4048DD12"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15F98"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649A4AE9"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15F98"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30ECD6FA"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15F98"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5E1D6AA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15F98"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5239424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15F98"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0A0B75E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15F98"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1A74B45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315F98"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5785466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15F98"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6D0F2E3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15F98"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605116B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15F98"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50C63A0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15F98"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61A9120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15F98"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06E77A2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15F98"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56113D3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15F98"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03D1D96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15F98"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5D7B719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15F98"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0CD10AC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15F98"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5443044E"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315F98" w:rsidRPr="00830B35">
        <w:t>information;</w:t>
      </w:r>
      <w:r w:rsidR="009A1C4B" w:rsidRPr="00830B35">
        <w:t xml:space="preserve"> </w:t>
      </w:r>
      <w:r w:rsidRPr="00830B35">
        <w:t>however</w:t>
      </w:r>
      <w:r w:rsidR="00315F98">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38701A79"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15F98"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088315AC"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15F98"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4F03FBBC"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15F98"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52A7CAB8"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15F98"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73FD49E8"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F15520" w:rsidRPr="00315F98">
        <w:rPr>
          <w:rStyle w:val="SUBFORMSectionHeader13ptAfterText"/>
          <w:color w:val="000000" w:themeColor="text1"/>
          <w:sz w:val="28"/>
          <w:szCs w:val="28"/>
        </w:rPr>
        <w:t>Fit to the Needs</w:t>
      </w:r>
    </w:p>
    <w:p w14:paraId="1A7E92AD" w14:textId="77777777" w:rsidR="00F15520" w:rsidRPr="00EF209F" w:rsidRDefault="00F15520" w:rsidP="00F15520">
      <w:pPr>
        <w:pStyle w:val="SUBFORMInstructionsText12ptItalic"/>
      </w:pPr>
      <w:r w:rsidRPr="00EF209F">
        <w:t xml:space="preserve">Use this area to describe the business conditions and business needs that led your organization </w:t>
      </w:r>
      <w:r w:rsidRPr="007B1BF0">
        <w:t>to develop strategy to improve the candidate experience.</w:t>
      </w:r>
    </w:p>
    <w:p w14:paraId="5D4E05A1" w14:textId="0A198B3A" w:rsidR="00742D29" w:rsidRDefault="0062458E" w:rsidP="00742D29">
      <w:pPr>
        <w:pStyle w:val="SUBFORMInstructionsText12ptItalic"/>
      </w:pPr>
      <w:r w:rsidRPr="0062458E">
        <w:t>Details:</w:t>
      </w:r>
    </w:p>
    <w:p w14:paraId="10FED89C" w14:textId="7CA6ACDD" w:rsidR="00315358" w:rsidRDefault="00315358" w:rsidP="00742D29">
      <w:pPr>
        <w:pStyle w:val="SUBFORMInstructionsText12ptItalic"/>
      </w:pPr>
    </w:p>
    <w:p w14:paraId="34F8E928" w14:textId="3B959A31" w:rsidR="00F15520" w:rsidRPr="0046796F" w:rsidRDefault="00F15520" w:rsidP="00F15520">
      <w:pPr>
        <w:pStyle w:val="SUBFORMInstructionsText12ptItalic"/>
      </w:pPr>
      <w:r>
        <w:t xml:space="preserve">Use this area to </w:t>
      </w:r>
      <w:r w:rsidR="00315F98">
        <w:t xml:space="preserve">provide a </w:t>
      </w:r>
      <w:r w:rsidRPr="00A8662C">
        <w:t xml:space="preserve">description </w:t>
      </w:r>
      <w:r w:rsidRPr="007B1BF0">
        <w:t>of the st</w:t>
      </w:r>
      <w:r>
        <w:t>rategy for the candidate experience</w:t>
      </w:r>
      <w:r w:rsidRPr="00A8662C">
        <w:t xml:space="preserve"> at your organization.</w:t>
      </w:r>
      <w:r>
        <w:t xml:space="preserve"> </w:t>
      </w:r>
      <w:r w:rsidRPr="00A8662C">
        <w:t xml:space="preserve">What goals did you establish and were they achieved?  </w:t>
      </w:r>
    </w:p>
    <w:p w14:paraId="4C15816A" w14:textId="6C5C8128" w:rsidR="00F15520" w:rsidRDefault="00F15520" w:rsidP="00F15520">
      <w:pPr>
        <w:pStyle w:val="SUBFORMDETAILS-TEXT12PT"/>
      </w:pPr>
      <w:r w:rsidRPr="00F15520">
        <w:t xml:space="preserve">Details: </w:t>
      </w:r>
    </w:p>
    <w:p w14:paraId="33D3D60A" w14:textId="60C716DF" w:rsidR="00F15520" w:rsidRDefault="00F15520" w:rsidP="00F15520">
      <w:pPr>
        <w:pStyle w:val="SUBFORMDETAILS-TEXT12PT"/>
      </w:pPr>
    </w:p>
    <w:p w14:paraId="50C54FAA" w14:textId="0AA1EE82" w:rsidR="00F15520" w:rsidRDefault="00F15520" w:rsidP="00F15520">
      <w:pPr>
        <w:pStyle w:val="SUBFORMDETAILS-TEXT12PT"/>
      </w:pPr>
    </w:p>
    <w:p w14:paraId="0147A66E" w14:textId="77777777" w:rsidR="00992161" w:rsidRPr="00F15520" w:rsidRDefault="00992161" w:rsidP="00F15520">
      <w:pPr>
        <w:pStyle w:val="SUBFORMDETAILS-TEXT12PT"/>
      </w:pPr>
    </w:p>
    <w:p w14:paraId="68F61F48" w14:textId="118760A6"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2:</w:t>
      </w:r>
      <w:r w:rsidR="00861C15" w:rsidRPr="00315F98">
        <w:rPr>
          <w:rStyle w:val="SUBFORMSectionHeader13ptAfterText"/>
          <w:color w:val="000000" w:themeColor="text1"/>
          <w:sz w:val="28"/>
          <w:szCs w:val="28"/>
        </w:rPr>
        <w:t xml:space="preserve"> </w:t>
      </w:r>
      <w:r w:rsidR="00F15520" w:rsidRPr="00315F98">
        <w:rPr>
          <w:rStyle w:val="SUBFORMSectionHeader13ptAfterText"/>
          <w:color w:val="000000" w:themeColor="text1"/>
          <w:sz w:val="28"/>
          <w:szCs w:val="28"/>
        </w:rPr>
        <w:t>Design</w:t>
      </w:r>
    </w:p>
    <w:p w14:paraId="666A10F5" w14:textId="77777777" w:rsidR="00F15520" w:rsidRDefault="00F15520" w:rsidP="00F15520">
      <w:pPr>
        <w:pStyle w:val="SUBFORMInstructionsText12ptItalic"/>
      </w:pPr>
      <w:r w:rsidRPr="007B1BF0">
        <w:t>Use this area to discuss the design of your strategy for improving the candidate experience.</w:t>
      </w:r>
    </w:p>
    <w:p w14:paraId="776DF190" w14:textId="1BC8966A" w:rsidR="00822050" w:rsidRDefault="0062458E" w:rsidP="00F15520">
      <w:pPr>
        <w:pStyle w:val="SUBFORMDETAILS-TEXT12PT"/>
      </w:pPr>
      <w:r w:rsidRPr="0062458E">
        <w:t>Details:</w:t>
      </w:r>
    </w:p>
    <w:p w14:paraId="793F2DC1" w14:textId="77777777" w:rsidR="00315358" w:rsidRPr="0062458E" w:rsidRDefault="00315358" w:rsidP="00F15520">
      <w:pPr>
        <w:pStyle w:val="SUBFORMDETAILS-TEXT12PT"/>
      </w:pPr>
    </w:p>
    <w:p w14:paraId="59BD61A4" w14:textId="647C66E8"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3:</w:t>
      </w:r>
      <w:r w:rsidR="00861C15" w:rsidRPr="00315F98">
        <w:rPr>
          <w:rStyle w:val="SUBFORMSectionHeader13ptAfterText"/>
          <w:color w:val="000000" w:themeColor="text1"/>
          <w:sz w:val="28"/>
          <w:szCs w:val="28"/>
        </w:rPr>
        <w:t xml:space="preserve"> </w:t>
      </w:r>
      <w:r w:rsidR="00F15520" w:rsidRPr="00315F98">
        <w:rPr>
          <w:rStyle w:val="SUBFORMSectionHeader13ptAfterText"/>
          <w:color w:val="000000" w:themeColor="text1"/>
          <w:sz w:val="28"/>
          <w:szCs w:val="28"/>
        </w:rPr>
        <w:t>Deployment</w:t>
      </w:r>
    </w:p>
    <w:p w14:paraId="60A60F3A" w14:textId="77777777" w:rsidR="00F15520" w:rsidRDefault="00F15520" w:rsidP="00F15520">
      <w:pPr>
        <w:pStyle w:val="SUBFORMInstructionsText12ptItalic"/>
      </w:pPr>
      <w:r w:rsidRPr="007B1BF0">
        <w:t>Use this area to discuss the deployment of your strategy for improving the candidate experience.</w:t>
      </w:r>
    </w:p>
    <w:p w14:paraId="794278B8" w14:textId="1D7F77A2" w:rsidR="008A290B" w:rsidRPr="0062458E" w:rsidRDefault="0062458E" w:rsidP="00F15520">
      <w:pPr>
        <w:pStyle w:val="SUBFORMDETAILS-TEXT12PT"/>
        <w:sectPr w:rsidR="008A290B" w:rsidRPr="0062458E" w:rsidSect="00EB5065">
          <w:type w:val="continuous"/>
          <w:pgSz w:w="12240" w:h="15840"/>
          <w:pgMar w:top="1656" w:right="1800" w:bottom="1080" w:left="1800" w:header="0" w:footer="0" w:gutter="0"/>
          <w:cols w:space="720"/>
          <w:docGrid w:linePitch="326"/>
        </w:sectPr>
      </w:pPr>
      <w:r w:rsidRPr="0062458E">
        <w:t>Details:</w:t>
      </w:r>
    </w:p>
    <w:p w14:paraId="19F9EEAE" w14:textId="77777777" w:rsidR="00E41254" w:rsidRDefault="00E41254" w:rsidP="00861C15">
      <w:pPr>
        <w:pStyle w:val="SUBFORMBlueSectionHeader"/>
      </w:pPr>
    </w:p>
    <w:p w14:paraId="061E280E" w14:textId="68218103"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315F98">
        <w:rPr>
          <w:rStyle w:val="SUBFORMSectionHeader13ptAfterText"/>
          <w:color w:val="000000" w:themeColor="text1"/>
          <w:sz w:val="28"/>
          <w:szCs w:val="28"/>
        </w:rPr>
        <w:t>Measurable Benefits</w:t>
      </w:r>
    </w:p>
    <w:p w14:paraId="3F2F97E9" w14:textId="77777777" w:rsidR="00F15520" w:rsidRPr="00B3370E" w:rsidRDefault="00F15520" w:rsidP="00F15520">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F15520">
      <w:pPr>
        <w:pStyle w:val="SUBFORMDETAILS-TEXT12PT"/>
      </w:pPr>
      <w:r w:rsidRPr="0062458E">
        <w:t>Details:</w:t>
      </w:r>
      <w:r w:rsidR="008A290B" w:rsidRPr="00B3370E">
        <w:t> </w:t>
      </w:r>
    </w:p>
    <w:p w14:paraId="1DBE9446" w14:textId="77777777" w:rsidR="00315358" w:rsidRDefault="00315358" w:rsidP="00861C15">
      <w:pPr>
        <w:pStyle w:val="SUBFORMBlueSectionHeader"/>
      </w:pPr>
    </w:p>
    <w:p w14:paraId="6314B365" w14:textId="28DABE7A"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315F98">
        <w:rPr>
          <w:rStyle w:val="SUBFORMSectionHeader13ptAfterText"/>
          <w:color w:val="000000" w:themeColor="text1"/>
          <w:sz w:val="28"/>
          <w:szCs w:val="28"/>
        </w:rPr>
        <w:t>Overall</w:t>
      </w:r>
    </w:p>
    <w:p w14:paraId="2D6497CB" w14:textId="77777777" w:rsidR="00F15520" w:rsidRPr="002517B8" w:rsidRDefault="00F15520" w:rsidP="00F15520">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71B3" w14:textId="77777777" w:rsidR="002873DD" w:rsidRDefault="002873DD" w:rsidP="00264B99">
      <w:r>
        <w:separator/>
      </w:r>
    </w:p>
  </w:endnote>
  <w:endnote w:type="continuationSeparator" w:id="0">
    <w:p w14:paraId="43BE7F5A" w14:textId="77777777" w:rsidR="002873DD" w:rsidRDefault="002873DD"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0443C0D9"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D56F52">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3514" w14:textId="77777777" w:rsidR="002873DD" w:rsidRDefault="002873DD" w:rsidP="00264B99">
      <w:r>
        <w:separator/>
      </w:r>
    </w:p>
  </w:footnote>
  <w:footnote w:type="continuationSeparator" w:id="0">
    <w:p w14:paraId="4A1E3DE4" w14:textId="77777777" w:rsidR="002873DD" w:rsidRDefault="002873DD"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56D4CD42" w:rsidR="00C6596B" w:rsidRDefault="00D56F52" w:rsidP="006826CF">
    <w:pPr>
      <w:pStyle w:val="Header"/>
      <w:ind w:left="-1800"/>
    </w:pPr>
    <w:r>
      <w:rPr>
        <w:noProof/>
      </w:rPr>
      <w:drawing>
        <wp:inline distT="0" distB="0" distL="0" distR="0" wp14:anchorId="0648E9AE" wp14:editId="00834FF2">
          <wp:extent cx="7823200" cy="1150255"/>
          <wp:effectExtent l="0" t="0" r="0" b="571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972693" cy="11722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1" type="#_x0000_t75" alt="http://www.brandon-hall.com/components/com_virtuemart/shop_image/category/Case_Study_4da3feae93382.png" style="width:23.75pt;height:23.7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438836832">
    <w:abstractNumId w:val="26"/>
  </w:num>
  <w:num w:numId="2" w16cid:durableId="2142840809">
    <w:abstractNumId w:val="20"/>
  </w:num>
  <w:num w:numId="3" w16cid:durableId="1996177524">
    <w:abstractNumId w:val="14"/>
  </w:num>
  <w:num w:numId="4" w16cid:durableId="1115446215">
    <w:abstractNumId w:val="28"/>
  </w:num>
  <w:num w:numId="5" w16cid:durableId="475529664">
    <w:abstractNumId w:val="34"/>
  </w:num>
  <w:num w:numId="6" w16cid:durableId="81295617">
    <w:abstractNumId w:val="38"/>
  </w:num>
  <w:num w:numId="7" w16cid:durableId="682902071">
    <w:abstractNumId w:val="27"/>
  </w:num>
  <w:num w:numId="8" w16cid:durableId="2095777996">
    <w:abstractNumId w:val="30"/>
  </w:num>
  <w:num w:numId="9" w16cid:durableId="1839269400">
    <w:abstractNumId w:val="13"/>
  </w:num>
  <w:num w:numId="10" w16cid:durableId="1238975510">
    <w:abstractNumId w:val="12"/>
  </w:num>
  <w:num w:numId="11" w16cid:durableId="231280728">
    <w:abstractNumId w:val="31"/>
  </w:num>
  <w:num w:numId="12" w16cid:durableId="1660160413">
    <w:abstractNumId w:val="37"/>
  </w:num>
  <w:num w:numId="13" w16cid:durableId="1475483797">
    <w:abstractNumId w:val="11"/>
  </w:num>
  <w:num w:numId="14" w16cid:durableId="620258783">
    <w:abstractNumId w:val="29"/>
  </w:num>
  <w:num w:numId="15" w16cid:durableId="1331181100">
    <w:abstractNumId w:val="22"/>
  </w:num>
  <w:num w:numId="16" w16cid:durableId="343673360">
    <w:abstractNumId w:val="24"/>
  </w:num>
  <w:num w:numId="17" w16cid:durableId="1909531679">
    <w:abstractNumId w:val="18"/>
  </w:num>
  <w:num w:numId="18" w16cid:durableId="1025325444">
    <w:abstractNumId w:val="32"/>
  </w:num>
  <w:num w:numId="19" w16cid:durableId="566572421">
    <w:abstractNumId w:val="25"/>
  </w:num>
  <w:num w:numId="20" w16cid:durableId="2097434709">
    <w:abstractNumId w:val="23"/>
  </w:num>
  <w:num w:numId="21" w16cid:durableId="2040006989">
    <w:abstractNumId w:val="21"/>
  </w:num>
  <w:num w:numId="22" w16cid:durableId="1364941525">
    <w:abstractNumId w:val="16"/>
  </w:num>
  <w:num w:numId="23" w16cid:durableId="28454835">
    <w:abstractNumId w:val="33"/>
  </w:num>
  <w:num w:numId="24" w16cid:durableId="752624689">
    <w:abstractNumId w:val="40"/>
  </w:num>
  <w:num w:numId="25" w16cid:durableId="1409114141">
    <w:abstractNumId w:val="19"/>
  </w:num>
  <w:num w:numId="26" w16cid:durableId="1377660851">
    <w:abstractNumId w:val="15"/>
  </w:num>
  <w:num w:numId="27" w16cid:durableId="2082680376">
    <w:abstractNumId w:val="0"/>
  </w:num>
  <w:num w:numId="28" w16cid:durableId="654069786">
    <w:abstractNumId w:val="1"/>
  </w:num>
  <w:num w:numId="29" w16cid:durableId="268658510">
    <w:abstractNumId w:val="2"/>
  </w:num>
  <w:num w:numId="30" w16cid:durableId="415908864">
    <w:abstractNumId w:val="3"/>
  </w:num>
  <w:num w:numId="31" w16cid:durableId="255985431">
    <w:abstractNumId w:val="4"/>
  </w:num>
  <w:num w:numId="32" w16cid:durableId="1662347496">
    <w:abstractNumId w:val="9"/>
  </w:num>
  <w:num w:numId="33" w16cid:durableId="780805064">
    <w:abstractNumId w:val="5"/>
  </w:num>
  <w:num w:numId="34" w16cid:durableId="1215971882">
    <w:abstractNumId w:val="6"/>
  </w:num>
  <w:num w:numId="35" w16cid:durableId="438914838">
    <w:abstractNumId w:val="7"/>
  </w:num>
  <w:num w:numId="36" w16cid:durableId="1530799312">
    <w:abstractNumId w:val="8"/>
  </w:num>
  <w:num w:numId="37" w16cid:durableId="1427653161">
    <w:abstractNumId w:val="10"/>
  </w:num>
  <w:num w:numId="38" w16cid:durableId="1990406034">
    <w:abstractNumId w:val="35"/>
  </w:num>
  <w:num w:numId="39" w16cid:durableId="328289225">
    <w:abstractNumId w:val="17"/>
  </w:num>
  <w:num w:numId="40" w16cid:durableId="1438520886">
    <w:abstractNumId w:val="36"/>
  </w:num>
  <w:num w:numId="41" w16cid:durableId="182054010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873DD"/>
    <w:rsid w:val="00293520"/>
    <w:rsid w:val="00295535"/>
    <w:rsid w:val="002A0E36"/>
    <w:rsid w:val="002A2C01"/>
    <w:rsid w:val="002A2EF7"/>
    <w:rsid w:val="002A662E"/>
    <w:rsid w:val="002B56A3"/>
    <w:rsid w:val="002B5B3C"/>
    <w:rsid w:val="002B7CD5"/>
    <w:rsid w:val="002C3F94"/>
    <w:rsid w:val="002C7FC2"/>
    <w:rsid w:val="002D1BBA"/>
    <w:rsid w:val="002E73D0"/>
    <w:rsid w:val="002F477E"/>
    <w:rsid w:val="002F795B"/>
    <w:rsid w:val="00301DFA"/>
    <w:rsid w:val="003030C6"/>
    <w:rsid w:val="00303600"/>
    <w:rsid w:val="00315358"/>
    <w:rsid w:val="00315F98"/>
    <w:rsid w:val="00334237"/>
    <w:rsid w:val="003350D6"/>
    <w:rsid w:val="00340A27"/>
    <w:rsid w:val="00353B4C"/>
    <w:rsid w:val="00355A85"/>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7584D"/>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83EB4"/>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1BC"/>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2161"/>
    <w:rsid w:val="00995375"/>
    <w:rsid w:val="009A1871"/>
    <w:rsid w:val="009A1C4B"/>
    <w:rsid w:val="009C5129"/>
    <w:rsid w:val="009C51AE"/>
    <w:rsid w:val="009D26B7"/>
    <w:rsid w:val="009D5C5D"/>
    <w:rsid w:val="009E2726"/>
    <w:rsid w:val="009E4AF9"/>
    <w:rsid w:val="009E5B75"/>
    <w:rsid w:val="009E637A"/>
    <w:rsid w:val="009F03DA"/>
    <w:rsid w:val="009F2DA2"/>
    <w:rsid w:val="009F4FF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2F30"/>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56F5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C2E58"/>
    <w:rsid w:val="00EE4528"/>
    <w:rsid w:val="00EE47B9"/>
    <w:rsid w:val="00EF209F"/>
    <w:rsid w:val="00F07E48"/>
    <w:rsid w:val="00F13DB3"/>
    <w:rsid w:val="00F15520"/>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F15520"/>
    <w:rPr>
      <w:iCs/>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315F98"/>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315F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4</cp:revision>
  <cp:lastPrinted>2021-12-08T22:12:00Z</cp:lastPrinted>
  <dcterms:created xsi:type="dcterms:W3CDTF">2023-11-08T20:53:00Z</dcterms:created>
  <dcterms:modified xsi:type="dcterms:W3CDTF">2023-11-08T20:57:00Z</dcterms:modified>
</cp:coreProperties>
</file>